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BC" w:rsidRPr="00773B81" w:rsidRDefault="00E62ABC" w:rsidP="00E62ABC">
      <w:pPr>
        <w:rPr>
          <w:rFonts w:asciiTheme="minorHAnsi" w:hAnsiTheme="minorHAnsi" w:cstheme="minorHAnsi"/>
          <w:b/>
          <w:bCs/>
        </w:rPr>
      </w:pPr>
    </w:p>
    <w:p w:rsidR="00E62ABC" w:rsidRPr="00D571F4" w:rsidRDefault="00E62ABC" w:rsidP="00E62ABC">
      <w:pPr>
        <w:jc w:val="center"/>
        <w:rPr>
          <w:rFonts w:asciiTheme="minorHAnsi" w:hAnsiTheme="minorHAnsi" w:cstheme="minorHAnsi"/>
          <w:b/>
        </w:rPr>
      </w:pPr>
      <w:bookmarkStart w:id="0" w:name="_GoBack"/>
      <w:r w:rsidRPr="00D571F4">
        <w:rPr>
          <w:rFonts w:asciiTheme="minorHAnsi" w:hAnsiTheme="minorHAnsi" w:cstheme="minorHAnsi"/>
          <w:b/>
        </w:rPr>
        <w:t>JOB DESCRIPTION</w:t>
      </w:r>
    </w:p>
    <w:p w:rsidR="00E62ABC" w:rsidRPr="00D571F4" w:rsidRDefault="00E62ABC" w:rsidP="00E62ABC">
      <w:pPr>
        <w:rPr>
          <w:rFonts w:asciiTheme="minorHAnsi" w:hAnsiTheme="minorHAnsi" w:cstheme="minorHAnsi"/>
          <w:b/>
          <w:bCs/>
        </w:rPr>
      </w:pPr>
    </w:p>
    <w:tbl>
      <w:tblPr>
        <w:tblStyle w:val="TableGrid"/>
        <w:tblW w:w="0" w:type="auto"/>
        <w:tblLook w:val="04A0" w:firstRow="1" w:lastRow="0" w:firstColumn="1" w:lastColumn="0" w:noHBand="0" w:noVBand="1"/>
      </w:tblPr>
      <w:tblGrid>
        <w:gridCol w:w="2547"/>
        <w:gridCol w:w="6469"/>
      </w:tblGrid>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Job Title:</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Clinical Recruitment Lead</w:t>
            </w:r>
          </w:p>
          <w:p w:rsidR="00E62ABC" w:rsidRPr="00D571F4" w:rsidRDefault="00E62ABC" w:rsidP="004530CE">
            <w:pPr>
              <w:ind w:right="120"/>
              <w:rPr>
                <w:rFonts w:asciiTheme="minorHAnsi" w:hAnsiTheme="minorHAnsi" w:cstheme="minorHAnsi"/>
              </w:rPr>
            </w:pP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 xml:space="preserve">Team / </w:t>
            </w:r>
            <w:proofErr w:type="spellStart"/>
            <w:r w:rsidRPr="00D571F4">
              <w:rPr>
                <w:rFonts w:asciiTheme="minorHAnsi" w:hAnsiTheme="minorHAnsi" w:cstheme="minorHAnsi"/>
                <w:b/>
                <w:bCs/>
              </w:rPr>
              <w:t>Dept</w:t>
            </w:r>
            <w:proofErr w:type="spellEnd"/>
            <w:r w:rsidRPr="00D571F4">
              <w:rPr>
                <w:rFonts w:asciiTheme="minorHAnsi" w:hAnsiTheme="minorHAnsi" w:cstheme="minorHAnsi"/>
                <w:b/>
                <w:bCs/>
              </w:rPr>
              <w:t xml:space="preserve"> / Function:</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Operations</w:t>
            </w:r>
          </w:p>
          <w:p w:rsidR="00E62ABC" w:rsidRPr="00D571F4" w:rsidRDefault="00E62ABC" w:rsidP="004530CE">
            <w:pPr>
              <w:ind w:right="120"/>
              <w:rPr>
                <w:rFonts w:asciiTheme="minorHAnsi" w:hAnsiTheme="minorHAnsi" w:cstheme="minorHAnsi"/>
              </w:rPr>
            </w:pP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Salary:</w:t>
            </w:r>
          </w:p>
          <w:p w:rsidR="00E62ABC" w:rsidRPr="00D571F4" w:rsidRDefault="00E62ABC" w:rsidP="004530CE">
            <w:pPr>
              <w:rPr>
                <w:rFonts w:asciiTheme="minorHAnsi" w:hAnsiTheme="minorHAnsi" w:cstheme="minorHAnsi"/>
                <w:b/>
                <w:bCs/>
              </w:rPr>
            </w:pP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£65k</w:t>
            </w: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Location:</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Hanover House, Norbiton/Home-based</w:t>
            </w:r>
          </w:p>
          <w:p w:rsidR="00E62ABC" w:rsidRPr="00D571F4" w:rsidRDefault="00E62ABC" w:rsidP="004530CE">
            <w:pPr>
              <w:ind w:right="120"/>
              <w:rPr>
                <w:rFonts w:asciiTheme="minorHAnsi" w:hAnsiTheme="minorHAnsi" w:cstheme="minorHAnsi"/>
              </w:rPr>
            </w:pP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Hours of work:</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As agreed, and in accordance with Contract of Employment</w:t>
            </w:r>
          </w:p>
          <w:p w:rsidR="00E62ABC" w:rsidRPr="00D571F4" w:rsidRDefault="00E62ABC" w:rsidP="004530CE">
            <w:pPr>
              <w:ind w:right="120"/>
              <w:rPr>
                <w:rFonts w:asciiTheme="minorHAnsi" w:hAnsiTheme="minorHAnsi" w:cstheme="minorHAnsi"/>
              </w:rPr>
            </w:pP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Reports to:</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Operations Director</w:t>
            </w:r>
          </w:p>
          <w:p w:rsidR="00E62ABC" w:rsidRPr="00D571F4" w:rsidRDefault="00E62ABC" w:rsidP="004530CE">
            <w:pPr>
              <w:ind w:right="120"/>
              <w:rPr>
                <w:rFonts w:asciiTheme="minorHAnsi" w:hAnsiTheme="minorHAnsi" w:cstheme="minorHAnsi"/>
              </w:rPr>
            </w:pP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Direct reports:</w:t>
            </w:r>
          </w:p>
        </w:tc>
        <w:tc>
          <w:tcPr>
            <w:tcW w:w="6469" w:type="dxa"/>
          </w:tcPr>
          <w:p w:rsidR="00E62ABC" w:rsidRPr="00D571F4" w:rsidRDefault="00E62ABC" w:rsidP="004530CE">
            <w:pPr>
              <w:ind w:right="120"/>
              <w:rPr>
                <w:rFonts w:asciiTheme="minorHAnsi" w:hAnsiTheme="minorHAnsi" w:cstheme="minorHAnsi"/>
              </w:rPr>
            </w:pPr>
            <w:r w:rsidRPr="00D571F4">
              <w:rPr>
                <w:rFonts w:asciiTheme="minorHAnsi" w:hAnsiTheme="minorHAnsi" w:cstheme="minorHAnsi"/>
              </w:rPr>
              <w:t xml:space="preserve">N/a </w:t>
            </w:r>
          </w:p>
        </w:tc>
      </w:tr>
      <w:tr w:rsidR="00E62ABC" w:rsidRPr="00D571F4" w:rsidTr="004530CE">
        <w:tc>
          <w:tcPr>
            <w:tcW w:w="2547" w:type="dxa"/>
          </w:tcPr>
          <w:p w:rsidR="00E62ABC" w:rsidRPr="00D571F4" w:rsidRDefault="00E62ABC" w:rsidP="004530CE">
            <w:pPr>
              <w:rPr>
                <w:rFonts w:asciiTheme="minorHAnsi" w:hAnsiTheme="minorHAnsi" w:cstheme="minorHAnsi"/>
                <w:b/>
                <w:bCs/>
              </w:rPr>
            </w:pPr>
            <w:r w:rsidRPr="00D571F4">
              <w:rPr>
                <w:rFonts w:asciiTheme="minorHAnsi" w:hAnsiTheme="minorHAnsi" w:cstheme="minorHAnsi"/>
                <w:b/>
                <w:bCs/>
              </w:rPr>
              <w:t>Key Stakeholders:</w:t>
            </w:r>
          </w:p>
        </w:tc>
        <w:tc>
          <w:tcPr>
            <w:tcW w:w="6469" w:type="dxa"/>
          </w:tcPr>
          <w:p w:rsidR="00E62ABC" w:rsidRPr="00D571F4" w:rsidRDefault="00E62ABC" w:rsidP="004530CE">
            <w:pPr>
              <w:pStyle w:val="BodyText"/>
              <w:ind w:right="120"/>
              <w:jc w:val="both"/>
              <w:rPr>
                <w:rFonts w:asciiTheme="minorHAnsi" w:hAnsiTheme="minorHAnsi" w:cstheme="minorHAnsi"/>
                <w:sz w:val="24"/>
              </w:rPr>
            </w:pPr>
            <w:r w:rsidRPr="00D571F4">
              <w:rPr>
                <w:rFonts w:asciiTheme="minorHAnsi" w:hAnsiTheme="minorHAnsi" w:cstheme="minorHAnsi"/>
                <w:sz w:val="24"/>
              </w:rPr>
              <w:t>Internal – Medical Director. Associate Clinical Director, Associate Medical Director, HR Manager, Senior General Manager, Rota team, Head Office team, SELDOC Managers and employees</w:t>
            </w:r>
          </w:p>
          <w:p w:rsidR="00E62ABC" w:rsidRPr="00D571F4" w:rsidRDefault="00E62ABC" w:rsidP="004530CE">
            <w:pPr>
              <w:pStyle w:val="BodyText"/>
              <w:ind w:right="120"/>
              <w:jc w:val="both"/>
              <w:rPr>
                <w:rFonts w:asciiTheme="minorHAnsi" w:hAnsiTheme="minorHAnsi" w:cstheme="minorHAnsi"/>
                <w:sz w:val="24"/>
              </w:rPr>
            </w:pPr>
          </w:p>
          <w:p w:rsidR="00E62ABC" w:rsidRPr="00D571F4" w:rsidRDefault="00E62ABC" w:rsidP="004530CE">
            <w:pPr>
              <w:pStyle w:val="BodyText"/>
              <w:ind w:right="120"/>
              <w:jc w:val="both"/>
              <w:rPr>
                <w:rFonts w:asciiTheme="minorHAnsi" w:hAnsiTheme="minorHAnsi" w:cstheme="minorHAnsi"/>
                <w:sz w:val="24"/>
              </w:rPr>
            </w:pPr>
            <w:r w:rsidRPr="00D571F4">
              <w:rPr>
                <w:rFonts w:asciiTheme="minorHAnsi" w:hAnsiTheme="minorHAnsi" w:cstheme="minorHAnsi"/>
                <w:sz w:val="24"/>
              </w:rPr>
              <w:t>External – prospective candidates; recruitment publications and e-publications; operational and clinical stakeholders in partner organisations</w:t>
            </w:r>
          </w:p>
        </w:tc>
      </w:tr>
    </w:tbl>
    <w:p w:rsidR="00E62ABC" w:rsidRPr="00D571F4" w:rsidRDefault="00E62ABC" w:rsidP="00E62ABC">
      <w:pPr>
        <w:rPr>
          <w:rFonts w:asciiTheme="minorHAnsi" w:hAnsiTheme="minorHAnsi" w:cstheme="minorHAnsi"/>
        </w:rPr>
      </w:pPr>
    </w:p>
    <w:p w:rsidR="00E62ABC" w:rsidRPr="00D571F4" w:rsidRDefault="00E62ABC" w:rsidP="00E62ABC">
      <w:pPr>
        <w:pStyle w:val="Heading1"/>
        <w:tabs>
          <w:tab w:val="left" w:pos="1381"/>
        </w:tabs>
        <w:ind w:right="120"/>
        <w:jc w:val="both"/>
        <w:rPr>
          <w:rFonts w:asciiTheme="minorHAnsi" w:hAnsiTheme="minorHAnsi" w:cstheme="minorHAnsi"/>
          <w:color w:val="auto"/>
          <w:sz w:val="24"/>
          <w:szCs w:val="24"/>
        </w:rPr>
      </w:pPr>
      <w:r w:rsidRPr="00D571F4">
        <w:rPr>
          <w:rFonts w:asciiTheme="minorHAnsi" w:hAnsiTheme="minorHAnsi" w:cstheme="minorHAnsi"/>
          <w:color w:val="auto"/>
          <w:sz w:val="24"/>
          <w:szCs w:val="24"/>
        </w:rPr>
        <w:t xml:space="preserve">SELDOC Healthcare provides both clinical and operational support to Heath Services across London and provides Integrated Urgent Care Services to South West and South East London. We also provide clinical support to the GSTT @Home Service, fleet support to the Palliative </w:t>
      </w:r>
      <w:proofErr w:type="spellStart"/>
      <w:r w:rsidRPr="00D571F4">
        <w:rPr>
          <w:rFonts w:asciiTheme="minorHAnsi" w:hAnsiTheme="minorHAnsi" w:cstheme="minorHAnsi"/>
          <w:color w:val="auto"/>
          <w:sz w:val="24"/>
          <w:szCs w:val="24"/>
        </w:rPr>
        <w:t>Care@Home</w:t>
      </w:r>
      <w:proofErr w:type="spellEnd"/>
      <w:r w:rsidRPr="00D571F4">
        <w:rPr>
          <w:rFonts w:asciiTheme="minorHAnsi" w:hAnsiTheme="minorHAnsi" w:cstheme="minorHAnsi"/>
          <w:color w:val="auto"/>
          <w:sz w:val="24"/>
          <w:szCs w:val="24"/>
        </w:rPr>
        <w:t xml:space="preserve"> service, and community step-down support in South West London.</w:t>
      </w:r>
    </w:p>
    <w:p w:rsidR="00E62ABC" w:rsidRPr="00D571F4" w:rsidRDefault="00E62ABC" w:rsidP="00E62ABC">
      <w:pPr>
        <w:rPr>
          <w:rFonts w:asciiTheme="minorHAnsi" w:hAnsiTheme="minorHAnsi" w:cstheme="minorHAnsi"/>
          <w:b/>
          <w:bCs/>
        </w:rPr>
      </w:pPr>
    </w:p>
    <w:p w:rsidR="00E62ABC" w:rsidRPr="00D571F4" w:rsidRDefault="00E62ABC" w:rsidP="00E62ABC">
      <w:pPr>
        <w:jc w:val="both"/>
        <w:rPr>
          <w:rFonts w:asciiTheme="minorHAnsi" w:hAnsiTheme="minorHAnsi" w:cstheme="minorHAnsi"/>
        </w:rPr>
      </w:pPr>
      <w:r w:rsidRPr="00D571F4">
        <w:rPr>
          <w:rFonts w:asciiTheme="minorHAnsi" w:hAnsiTheme="minorHAnsi" w:cstheme="minorHAnsi"/>
          <w:b/>
        </w:rPr>
        <w:tab/>
      </w:r>
    </w:p>
    <w:p w:rsidR="00E62ABC" w:rsidRPr="00D571F4" w:rsidRDefault="00E62ABC" w:rsidP="00E62ABC">
      <w:pPr>
        <w:rPr>
          <w:rFonts w:asciiTheme="minorHAnsi" w:hAnsiTheme="minorHAnsi" w:cstheme="minorHAnsi"/>
          <w:b/>
          <w:bCs/>
        </w:rPr>
      </w:pPr>
      <w:r w:rsidRPr="00D571F4">
        <w:rPr>
          <w:rFonts w:asciiTheme="minorHAnsi" w:hAnsiTheme="minorHAnsi" w:cstheme="minorHAnsi"/>
          <w:b/>
          <w:bCs/>
        </w:rPr>
        <w:t>Job summary</w:t>
      </w:r>
    </w:p>
    <w:p w:rsidR="00E62ABC" w:rsidRPr="00D571F4" w:rsidRDefault="00E62ABC" w:rsidP="00E62ABC">
      <w:pPr>
        <w:rPr>
          <w:rFonts w:asciiTheme="minorHAnsi" w:hAnsiTheme="minorHAnsi" w:cstheme="minorHAnsi"/>
          <w:color w:val="212B32"/>
          <w:shd w:val="clear" w:color="auto" w:fill="F0F4F5"/>
        </w:rPr>
      </w:pPr>
    </w:p>
    <w:p w:rsidR="00E62ABC" w:rsidRPr="00D571F4" w:rsidRDefault="00E62ABC" w:rsidP="00E62ABC">
      <w:pPr>
        <w:rPr>
          <w:rFonts w:asciiTheme="minorHAnsi" w:hAnsiTheme="minorHAnsi" w:cstheme="minorHAnsi"/>
          <w:b/>
          <w:bCs/>
        </w:rPr>
      </w:pPr>
      <w:r w:rsidRPr="00D571F4">
        <w:rPr>
          <w:rFonts w:asciiTheme="minorHAnsi" w:hAnsiTheme="minorHAnsi" w:cstheme="minorHAnsi"/>
          <w:color w:val="212B32"/>
          <w:shd w:val="clear" w:color="auto" w:fill="F0F4F5"/>
        </w:rPr>
        <w:t>As the lead clinical recruitment specialist to be accountable for ensuring the selection and appointment of the most appropriate and high calibre people to clinical roles within the SELDOC Group; providing a comprehensive, professional and responsive recruitment and selection service.</w:t>
      </w:r>
    </w:p>
    <w:p w:rsidR="00E62ABC" w:rsidRPr="00D571F4" w:rsidRDefault="00E62ABC" w:rsidP="00E62ABC">
      <w:pPr>
        <w:rPr>
          <w:rFonts w:asciiTheme="minorHAnsi" w:hAnsiTheme="minorHAnsi" w:cs="Arial"/>
        </w:rPr>
      </w:pPr>
      <w:r w:rsidRPr="00D571F4">
        <w:rPr>
          <w:rFonts w:asciiTheme="minorHAnsi" w:hAnsiTheme="minorHAnsi" w:cs="Arial"/>
          <w:b/>
          <w:bCs/>
        </w:rPr>
        <w:tab/>
      </w:r>
    </w:p>
    <w:p w:rsidR="00E62ABC" w:rsidRPr="00D571F4" w:rsidRDefault="00E62ABC" w:rsidP="00E62ABC">
      <w:pPr>
        <w:pStyle w:val="Heading3"/>
        <w:rPr>
          <w:rFonts w:asciiTheme="minorHAnsi" w:hAnsiTheme="minorHAnsi" w:cstheme="minorHAnsi"/>
          <w:b/>
          <w:bCs/>
          <w:color w:val="000000" w:themeColor="text1"/>
        </w:rPr>
      </w:pPr>
      <w:r w:rsidRPr="00D571F4">
        <w:rPr>
          <w:rFonts w:asciiTheme="minorHAnsi" w:hAnsiTheme="minorHAnsi" w:cstheme="minorHAnsi"/>
          <w:b/>
          <w:bCs/>
          <w:color w:val="000000" w:themeColor="text1"/>
        </w:rPr>
        <w:t xml:space="preserve">Key Responsibilities </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Effective organisation and management of the clinical recruitment function, planning and organising recruitment campaigns and activities, setting objectives and priorities to meet organisational needs. To deliver a level of contracted and sessional clinical recruitment that is consistent with the objectives of the Clinical Recruitment Plan</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To advertise and recruit in a way which demonstrates value for money</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lastRenderedPageBreak/>
        <w:t>Assisting in the development and implementation of the annual Workforce Plan in collaboration with the Operations Director and other key stakeholders</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Providing the SELDOC Group with expert knowledge and advice on all aspects and stages of clinical recruitment, selection, training and relevant legislation</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Managing the process for all relevant data information and monitoring systems according to SELDOC Group requirements and Data Protection legislation</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Working with the sales team to develop and promote an employer brand and lead annual marketing campaigns to raise awareness of SELDOC at suitable events</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Participating in selection processes for clinical appointments and others as required</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 xml:space="preserve">Responsible for the transactional work relating to new clinical starters including </w:t>
      </w:r>
      <w:proofErr w:type="spellStart"/>
      <w:r w:rsidRPr="00D571F4">
        <w:rPr>
          <w:rFonts w:asciiTheme="minorHAnsi" w:hAnsiTheme="minorHAnsi" w:cstheme="minorHAnsi"/>
          <w:color w:val="212B32"/>
        </w:rPr>
        <w:t>onboarding</w:t>
      </w:r>
      <w:proofErr w:type="spellEnd"/>
      <w:r w:rsidRPr="00D571F4">
        <w:rPr>
          <w:rFonts w:asciiTheme="minorHAnsi" w:hAnsiTheme="minorHAnsi" w:cstheme="minorHAnsi"/>
          <w:color w:val="212B32"/>
        </w:rPr>
        <w:t>, compliance, professional registration and references</w:t>
      </w:r>
    </w:p>
    <w:p w:rsidR="00E62ABC" w:rsidRPr="00D571F4" w:rsidRDefault="00E62ABC" w:rsidP="00E62ABC">
      <w:pPr>
        <w:widowControl/>
        <w:numPr>
          <w:ilvl w:val="0"/>
          <w:numId w:val="1"/>
        </w:numPr>
        <w:autoSpaceDE/>
        <w:autoSpaceDN/>
        <w:adjustRightInd/>
        <w:spacing w:before="100" w:beforeAutospacing="1" w:after="120"/>
        <w:jc w:val="both"/>
        <w:rPr>
          <w:rFonts w:asciiTheme="minorHAnsi" w:hAnsiTheme="minorHAnsi" w:cstheme="minorHAnsi"/>
          <w:color w:val="212B32"/>
        </w:rPr>
      </w:pPr>
      <w:r w:rsidRPr="00D571F4">
        <w:rPr>
          <w:rFonts w:asciiTheme="minorHAnsi" w:hAnsiTheme="minorHAnsi" w:cstheme="minorHAnsi"/>
          <w:color w:val="212B32"/>
        </w:rPr>
        <w:t>Being a role model leader by demonstrating effective and appropriate behaviours; being flexible by demonstrating appropriate leadership styles and adapting communication to match the situation and audience</w:t>
      </w:r>
    </w:p>
    <w:p w:rsidR="00E62ABC" w:rsidRPr="00D571F4" w:rsidRDefault="00E62ABC" w:rsidP="00E62ABC">
      <w:pPr>
        <w:rPr>
          <w:rFonts w:asciiTheme="minorHAnsi" w:hAnsiTheme="minorHAnsi" w:cs="Arial"/>
          <w:i/>
          <w:lang w:val="en-US"/>
        </w:rPr>
      </w:pPr>
    </w:p>
    <w:p w:rsidR="00E62ABC" w:rsidRPr="00D571F4" w:rsidRDefault="00E62ABC" w:rsidP="00E62ABC">
      <w:pPr>
        <w:jc w:val="both"/>
        <w:rPr>
          <w:rFonts w:asciiTheme="minorHAnsi" w:hAnsiTheme="minorHAnsi" w:cs="Arial"/>
          <w:i/>
          <w:lang w:val="en-US"/>
        </w:rPr>
      </w:pPr>
      <w:r w:rsidRPr="00D571F4">
        <w:rPr>
          <w:rFonts w:asciiTheme="minorHAnsi" w:hAnsiTheme="minorHAnsi" w:cs="Arial"/>
          <w:i/>
          <w:lang w:val="en-US"/>
        </w:rPr>
        <w:t>This job description is an outline only and is not definitive or restrictive in any way. It will be regularly reviewed and may be amended in the light of changing circumstances following consultation with the post holder.</w:t>
      </w:r>
    </w:p>
    <w:p w:rsidR="00E62ABC" w:rsidRPr="00D571F4" w:rsidRDefault="00E62ABC" w:rsidP="00E62ABC">
      <w:pPr>
        <w:rPr>
          <w:rFonts w:asciiTheme="minorHAnsi" w:hAnsiTheme="minorHAnsi" w:cs="Arial"/>
          <w:b/>
        </w:rPr>
      </w:pPr>
    </w:p>
    <w:p w:rsidR="00E62ABC" w:rsidRPr="00D571F4" w:rsidRDefault="00E62ABC" w:rsidP="00E62ABC">
      <w:pPr>
        <w:jc w:val="center"/>
        <w:rPr>
          <w:rFonts w:asciiTheme="minorHAnsi" w:hAnsiTheme="minorHAnsi" w:cs="Arial"/>
          <w:b/>
        </w:rPr>
      </w:pPr>
      <w:r w:rsidRPr="00D571F4">
        <w:rPr>
          <w:rFonts w:asciiTheme="minorHAnsi" w:hAnsiTheme="minorHAnsi" w:cs="Arial"/>
          <w:b/>
        </w:rPr>
        <w:t xml:space="preserve">PERSON SPECIFICATION </w:t>
      </w:r>
    </w:p>
    <w:p w:rsidR="00E62ABC" w:rsidRPr="00D571F4" w:rsidRDefault="00E62ABC" w:rsidP="00E62ABC">
      <w:pPr>
        <w:jc w:val="center"/>
        <w:rPr>
          <w:rFonts w:asciiTheme="minorHAnsi" w:hAnsiTheme="minorHAnsi" w:cs="Arial"/>
          <w:b/>
        </w:rPr>
      </w:pPr>
    </w:p>
    <w:p w:rsidR="00E62ABC" w:rsidRPr="00D571F4" w:rsidRDefault="00E62ABC" w:rsidP="00E62ABC">
      <w:pPr>
        <w:jc w:val="center"/>
        <w:rPr>
          <w:rFonts w:asciiTheme="minorHAnsi" w:hAnsiTheme="minorHAnsi" w:cs="Arial"/>
        </w:rPr>
      </w:pPr>
      <w:r w:rsidRPr="00D571F4">
        <w:rPr>
          <w:rFonts w:asciiTheme="minorHAnsi" w:hAnsiTheme="minorHAnsi" w:cs="Arial"/>
          <w:spacing w:val="8"/>
        </w:rPr>
        <w:t>A= Application form, I= Interview, R= References</w:t>
      </w:r>
    </w:p>
    <w:p w:rsidR="00E62ABC" w:rsidRPr="00D571F4" w:rsidRDefault="00E62ABC" w:rsidP="00E62ABC">
      <w:pPr>
        <w:jc w:val="center"/>
        <w:rPr>
          <w:rFonts w:asciiTheme="minorHAnsi" w:hAnsiTheme="minorHAnsi" w:cs="Arial"/>
          <w:b/>
        </w:rPr>
      </w:pPr>
    </w:p>
    <w:tbl>
      <w:tblPr>
        <w:tblStyle w:val="TableGrid"/>
        <w:tblW w:w="10060" w:type="dxa"/>
        <w:tblLayout w:type="fixed"/>
        <w:tblLook w:val="04A0" w:firstRow="1" w:lastRow="0" w:firstColumn="1" w:lastColumn="0" w:noHBand="0" w:noVBand="1"/>
      </w:tblPr>
      <w:tblGrid>
        <w:gridCol w:w="6232"/>
        <w:gridCol w:w="1134"/>
        <w:gridCol w:w="1276"/>
        <w:gridCol w:w="1418"/>
      </w:tblGrid>
      <w:tr w:rsidR="00E62ABC" w:rsidRPr="00D571F4" w:rsidTr="00FF436D">
        <w:tc>
          <w:tcPr>
            <w:tcW w:w="6232" w:type="dxa"/>
          </w:tcPr>
          <w:p w:rsidR="00E62ABC" w:rsidRPr="00D571F4" w:rsidRDefault="00E62ABC" w:rsidP="004530CE">
            <w:pPr>
              <w:rPr>
                <w:rFonts w:asciiTheme="minorHAnsi" w:hAnsiTheme="minorHAnsi" w:cstheme="minorHAnsi"/>
                <w:b/>
                <w:lang w:val="en-US"/>
              </w:rPr>
            </w:pPr>
          </w:p>
        </w:tc>
        <w:tc>
          <w:tcPr>
            <w:tcW w:w="1134"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Essential</w:t>
            </w:r>
          </w:p>
        </w:tc>
        <w:tc>
          <w:tcPr>
            <w:tcW w:w="1276"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Desirable</w:t>
            </w:r>
          </w:p>
        </w:tc>
        <w:tc>
          <w:tcPr>
            <w:tcW w:w="1418" w:type="dxa"/>
          </w:tcPr>
          <w:p w:rsidR="00E62ABC" w:rsidRPr="00D571F4" w:rsidRDefault="00E62ABC" w:rsidP="004530CE">
            <w:pPr>
              <w:tabs>
                <w:tab w:val="left" w:pos="480"/>
              </w:tabs>
              <w:rPr>
                <w:rFonts w:asciiTheme="minorHAnsi" w:hAnsiTheme="minorHAnsi" w:cstheme="minorHAnsi"/>
                <w:b/>
                <w:lang w:val="en-US"/>
              </w:rPr>
            </w:pPr>
            <w:r w:rsidRPr="00D571F4">
              <w:rPr>
                <w:rFonts w:asciiTheme="minorHAnsi" w:hAnsiTheme="minorHAnsi" w:cstheme="minorHAnsi"/>
                <w:b/>
                <w:lang w:val="en-US"/>
              </w:rPr>
              <w:t>Assessment</w:t>
            </w:r>
          </w:p>
        </w:tc>
      </w:tr>
      <w:tr w:rsidR="00E62ABC" w:rsidRPr="00D571F4" w:rsidTr="00FF436D">
        <w:tc>
          <w:tcPr>
            <w:tcW w:w="6232"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Qualifications and Training</w:t>
            </w:r>
          </w:p>
        </w:tc>
        <w:tc>
          <w:tcPr>
            <w:tcW w:w="1134" w:type="dxa"/>
          </w:tcPr>
          <w:p w:rsidR="00E62ABC" w:rsidRPr="00D571F4" w:rsidRDefault="00E62ABC" w:rsidP="004530CE">
            <w:pPr>
              <w:rPr>
                <w:rFonts w:asciiTheme="minorHAnsi" w:hAnsiTheme="minorHAnsi" w:cstheme="minorHAnsi"/>
                <w:b/>
                <w:lang w:val="en-US"/>
              </w:rPr>
            </w:pPr>
          </w:p>
        </w:tc>
        <w:tc>
          <w:tcPr>
            <w:tcW w:w="1276" w:type="dxa"/>
          </w:tcPr>
          <w:p w:rsidR="00E62ABC" w:rsidRPr="00D571F4" w:rsidRDefault="00E62ABC" w:rsidP="004530CE">
            <w:pPr>
              <w:rPr>
                <w:rFonts w:asciiTheme="minorHAnsi" w:hAnsiTheme="minorHAnsi" w:cstheme="minorHAnsi"/>
                <w:b/>
                <w:lang w:val="en-US"/>
              </w:rPr>
            </w:pPr>
          </w:p>
        </w:tc>
        <w:tc>
          <w:tcPr>
            <w:tcW w:w="1418" w:type="dxa"/>
          </w:tcPr>
          <w:p w:rsidR="00E62ABC" w:rsidRPr="00D571F4" w:rsidRDefault="00E62ABC" w:rsidP="004530CE">
            <w:pPr>
              <w:rPr>
                <w:rFonts w:asciiTheme="minorHAnsi" w:hAnsiTheme="minorHAnsi" w:cstheme="minorHAnsi"/>
                <w:b/>
                <w:lang w:val="en-US"/>
              </w:rPr>
            </w:pPr>
          </w:p>
        </w:tc>
      </w:tr>
      <w:tr w:rsidR="00E62ABC" w:rsidRPr="00D571F4" w:rsidTr="00FF436D">
        <w:tc>
          <w:tcPr>
            <w:tcW w:w="6232" w:type="dxa"/>
            <w:shd w:val="clear" w:color="auto" w:fill="auto"/>
          </w:tcPr>
          <w:p w:rsidR="00E62ABC" w:rsidRPr="00D571F4" w:rsidRDefault="00E62ABC" w:rsidP="00E62ABC">
            <w:pPr>
              <w:widowControl/>
              <w:numPr>
                <w:ilvl w:val="0"/>
                <w:numId w:val="2"/>
              </w:numPr>
              <w:shd w:val="clear" w:color="auto" w:fill="F0F4F5"/>
              <w:tabs>
                <w:tab w:val="clear" w:pos="720"/>
                <w:tab w:val="num" w:pos="599"/>
              </w:tabs>
              <w:autoSpaceDE/>
              <w:autoSpaceDN/>
              <w:adjustRightInd/>
              <w:spacing w:before="100" w:beforeAutospacing="1" w:after="120"/>
              <w:ind w:left="599"/>
              <w:rPr>
                <w:rFonts w:asciiTheme="minorHAnsi" w:hAnsiTheme="minorHAnsi" w:cstheme="minorHAnsi"/>
                <w:color w:val="212B32"/>
              </w:rPr>
            </w:pPr>
            <w:r w:rsidRPr="00D571F4">
              <w:rPr>
                <w:rFonts w:asciiTheme="minorHAnsi" w:hAnsiTheme="minorHAnsi" w:cstheme="minorHAnsi"/>
                <w:color w:val="212B32"/>
              </w:rPr>
              <w:t>Master's Degree, equivalent professional qualifications and/or substantial demonstrable experience in a similar role or setting</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b/>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w:t>
            </w:r>
          </w:p>
        </w:tc>
      </w:tr>
      <w:tr w:rsidR="00E62ABC" w:rsidRPr="00D571F4" w:rsidTr="00FF436D">
        <w:tc>
          <w:tcPr>
            <w:tcW w:w="6232" w:type="dxa"/>
            <w:shd w:val="clear" w:color="auto" w:fill="auto"/>
          </w:tcPr>
          <w:p w:rsidR="00E62ABC" w:rsidRPr="00D571F4" w:rsidRDefault="00E62ABC" w:rsidP="00E62ABC">
            <w:pPr>
              <w:widowControl/>
              <w:numPr>
                <w:ilvl w:val="0"/>
                <w:numId w:val="2"/>
              </w:numPr>
              <w:shd w:val="clear" w:color="auto" w:fill="F0F4F5"/>
              <w:tabs>
                <w:tab w:val="clear" w:pos="720"/>
                <w:tab w:val="num" w:pos="599"/>
              </w:tabs>
              <w:autoSpaceDE/>
              <w:autoSpaceDN/>
              <w:adjustRightInd/>
              <w:spacing w:before="100" w:beforeAutospacing="1"/>
              <w:ind w:left="599" w:hanging="404"/>
              <w:rPr>
                <w:rFonts w:asciiTheme="minorHAnsi" w:hAnsiTheme="minorHAnsi" w:cstheme="minorHAnsi"/>
                <w:color w:val="212B32"/>
              </w:rPr>
            </w:pPr>
            <w:r w:rsidRPr="00D571F4">
              <w:rPr>
                <w:rFonts w:asciiTheme="minorHAnsi" w:hAnsiTheme="minorHAnsi" w:cstheme="minorHAnsi"/>
                <w:color w:val="212B32"/>
              </w:rPr>
              <w:t>Member of the Chartered Institute of Personnel and Development (CIPD)</w:t>
            </w:r>
          </w:p>
          <w:p w:rsidR="00E62ABC" w:rsidRPr="00D571F4" w:rsidRDefault="00E62ABC" w:rsidP="004530CE">
            <w:pPr>
              <w:rPr>
                <w:rFonts w:asciiTheme="minorHAnsi" w:hAnsiTheme="minorHAnsi" w:cstheme="minorHAnsi"/>
                <w:lang w:val="en-US"/>
              </w:rPr>
            </w:pP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b/>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w:t>
            </w:r>
          </w:p>
        </w:tc>
      </w:tr>
      <w:tr w:rsidR="00E62ABC" w:rsidRPr="00D571F4" w:rsidTr="00FF436D">
        <w:tc>
          <w:tcPr>
            <w:tcW w:w="6232"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Experience</w:t>
            </w:r>
          </w:p>
        </w:tc>
        <w:tc>
          <w:tcPr>
            <w:tcW w:w="1134"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Essential</w:t>
            </w:r>
          </w:p>
        </w:tc>
        <w:tc>
          <w:tcPr>
            <w:tcW w:w="1276"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Desirable</w:t>
            </w: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b/>
                <w:lang w:val="en-US"/>
              </w:rPr>
              <w:t>Assessment</w:t>
            </w:r>
          </w:p>
        </w:tc>
      </w:tr>
      <w:tr w:rsidR="00E62ABC" w:rsidRPr="00D571F4" w:rsidTr="00FF436D">
        <w:tc>
          <w:tcPr>
            <w:tcW w:w="6232" w:type="dxa"/>
          </w:tcPr>
          <w:p w:rsidR="00E62ABC" w:rsidRPr="00D571F4" w:rsidRDefault="00E62ABC" w:rsidP="00E62ABC">
            <w:pPr>
              <w:widowControl/>
              <w:numPr>
                <w:ilvl w:val="0"/>
                <w:numId w:val="3"/>
              </w:numPr>
              <w:shd w:val="clear" w:color="auto" w:fill="F0F4F5"/>
              <w:tabs>
                <w:tab w:val="clear" w:pos="720"/>
                <w:tab w:val="num" w:pos="599"/>
              </w:tabs>
              <w:autoSpaceDE/>
              <w:autoSpaceDN/>
              <w:adjustRightInd/>
              <w:spacing w:before="100" w:beforeAutospacing="1" w:after="120"/>
              <w:ind w:left="599"/>
              <w:rPr>
                <w:rFonts w:asciiTheme="minorHAnsi" w:hAnsiTheme="minorHAnsi" w:cstheme="minorHAnsi"/>
                <w:color w:val="212B32"/>
              </w:rPr>
            </w:pPr>
            <w:r w:rsidRPr="00D571F4">
              <w:rPr>
                <w:rFonts w:asciiTheme="minorHAnsi" w:hAnsiTheme="minorHAnsi" w:cstheme="minorHAnsi"/>
                <w:color w:val="212B32"/>
              </w:rPr>
              <w:t>Substantial recruitment and resourcing experience, currently operating at a senior level and advising Directors/Managers on complex clinical recruitment and resourcing issues</w:t>
            </w:r>
          </w:p>
          <w:p w:rsidR="00E62ABC" w:rsidRPr="00D571F4" w:rsidRDefault="00E62ABC" w:rsidP="004530CE">
            <w:pPr>
              <w:rPr>
                <w:rFonts w:asciiTheme="minorHAnsi" w:eastAsia="Arial Unicode MS" w:hAnsiTheme="minorHAnsi" w:cstheme="minorHAnsi"/>
              </w:rPr>
            </w:pP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r w:rsidR="00E62ABC" w:rsidRPr="00D571F4" w:rsidTr="00FF436D">
        <w:tc>
          <w:tcPr>
            <w:tcW w:w="6232" w:type="dxa"/>
          </w:tcPr>
          <w:p w:rsidR="00E62ABC" w:rsidRPr="00D571F4" w:rsidRDefault="00E62ABC" w:rsidP="00E62ABC">
            <w:pPr>
              <w:widowControl/>
              <w:numPr>
                <w:ilvl w:val="0"/>
                <w:numId w:val="3"/>
              </w:numPr>
              <w:shd w:val="clear" w:color="auto" w:fill="F0F4F5"/>
              <w:autoSpaceDE/>
              <w:autoSpaceDN/>
              <w:adjustRightInd/>
              <w:spacing w:before="100" w:beforeAutospacing="1" w:after="120"/>
              <w:rPr>
                <w:rFonts w:asciiTheme="minorHAnsi" w:hAnsiTheme="minorHAnsi" w:cstheme="minorHAnsi"/>
                <w:color w:val="212B32"/>
              </w:rPr>
            </w:pPr>
            <w:r w:rsidRPr="00D571F4">
              <w:rPr>
                <w:rFonts w:asciiTheme="minorHAnsi" w:hAnsiTheme="minorHAnsi" w:cstheme="minorHAnsi"/>
                <w:color w:val="212B32"/>
              </w:rPr>
              <w:t>Experience of writing reports, policies and other recruitment paperwork including job descriptions and adverts.</w:t>
            </w:r>
          </w:p>
          <w:p w:rsidR="00E62ABC" w:rsidRPr="00D571F4" w:rsidRDefault="00E62ABC" w:rsidP="004530CE">
            <w:pPr>
              <w:rPr>
                <w:rFonts w:asciiTheme="minorHAnsi" w:eastAsia="Arial Unicode MS" w:hAnsiTheme="minorHAnsi" w:cstheme="minorHAnsi"/>
              </w:rPr>
            </w:pP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r w:rsidR="00E62ABC" w:rsidRPr="00D571F4" w:rsidTr="00FF436D">
        <w:tc>
          <w:tcPr>
            <w:tcW w:w="6232" w:type="dxa"/>
          </w:tcPr>
          <w:p w:rsidR="00E62ABC" w:rsidRPr="00D571F4" w:rsidRDefault="00E62ABC" w:rsidP="00E62ABC">
            <w:pPr>
              <w:widowControl/>
              <w:numPr>
                <w:ilvl w:val="0"/>
                <w:numId w:val="3"/>
              </w:numPr>
              <w:shd w:val="clear" w:color="auto" w:fill="F0F4F5"/>
              <w:autoSpaceDE/>
              <w:autoSpaceDN/>
              <w:adjustRightInd/>
              <w:spacing w:before="100" w:beforeAutospacing="1" w:after="120"/>
              <w:rPr>
                <w:rFonts w:asciiTheme="minorHAnsi" w:hAnsiTheme="minorHAnsi" w:cstheme="minorHAnsi"/>
                <w:color w:val="212B32"/>
              </w:rPr>
            </w:pPr>
            <w:r w:rsidRPr="00D571F4">
              <w:rPr>
                <w:rFonts w:asciiTheme="minorHAnsi" w:hAnsiTheme="minorHAnsi" w:cstheme="minorHAnsi"/>
                <w:color w:val="212B32"/>
              </w:rPr>
              <w:t xml:space="preserve">Demonstrable experience of identifying and implementing robust solutions in recruiting and </w:t>
            </w:r>
            <w:r w:rsidRPr="00D571F4">
              <w:rPr>
                <w:rFonts w:asciiTheme="minorHAnsi" w:hAnsiTheme="minorHAnsi" w:cstheme="minorHAnsi"/>
                <w:color w:val="212B32"/>
              </w:rPr>
              <w:lastRenderedPageBreak/>
              <w:t>retaining a diverse workforce representative of the local population.</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lastRenderedPageBreak/>
              <w:t>/</w:t>
            </w:r>
          </w:p>
        </w:tc>
        <w:tc>
          <w:tcPr>
            <w:tcW w:w="1276" w:type="dxa"/>
          </w:tcPr>
          <w:p w:rsidR="00E62ABC" w:rsidRPr="00D571F4" w:rsidRDefault="00E62ABC" w:rsidP="004530CE">
            <w:pPr>
              <w:rPr>
                <w:rFonts w:asciiTheme="minorHAnsi" w:hAnsiTheme="minorHAnsi" w:cstheme="minorHAnsi"/>
                <w:lang w:val="en-US"/>
              </w:rPr>
            </w:pPr>
          </w:p>
        </w:tc>
        <w:tc>
          <w:tcPr>
            <w:tcW w:w="1418" w:type="dxa"/>
            <w:shd w:val="clear" w:color="auto" w:fill="auto"/>
          </w:tcPr>
          <w:p w:rsidR="00E62ABC" w:rsidRPr="00D571F4" w:rsidRDefault="00E62ABC" w:rsidP="004530CE">
            <w:pPr>
              <w:rPr>
                <w:rFonts w:asciiTheme="minorHAnsi" w:hAnsiTheme="minorHAnsi" w:cstheme="minorHAnsi"/>
                <w:highlight w:val="yellow"/>
                <w:lang w:val="en-US"/>
              </w:rPr>
            </w:pPr>
            <w:r w:rsidRPr="00D571F4">
              <w:rPr>
                <w:rFonts w:asciiTheme="minorHAnsi" w:hAnsiTheme="minorHAnsi" w:cstheme="minorHAnsi"/>
                <w:lang w:val="en-US"/>
              </w:rPr>
              <w:t>A, I</w:t>
            </w:r>
          </w:p>
        </w:tc>
      </w:tr>
      <w:tr w:rsidR="00E62ABC" w:rsidRPr="00D571F4" w:rsidTr="00FF436D">
        <w:tc>
          <w:tcPr>
            <w:tcW w:w="6232" w:type="dxa"/>
          </w:tcPr>
          <w:p w:rsidR="00E62ABC" w:rsidRPr="00D571F4" w:rsidRDefault="00E62ABC" w:rsidP="00E62ABC">
            <w:pPr>
              <w:pStyle w:val="ListParagraph"/>
              <w:numPr>
                <w:ilvl w:val="0"/>
                <w:numId w:val="3"/>
              </w:numPr>
              <w:rPr>
                <w:rFonts w:asciiTheme="minorHAnsi" w:eastAsia="Arial Unicode MS" w:hAnsiTheme="minorHAnsi" w:cstheme="minorHAnsi"/>
                <w:sz w:val="24"/>
                <w:szCs w:val="24"/>
              </w:rPr>
            </w:pPr>
            <w:r w:rsidRPr="00D571F4">
              <w:rPr>
                <w:rFonts w:asciiTheme="minorHAnsi" w:eastAsia="Arial Unicode MS" w:hAnsiTheme="minorHAnsi" w:cstheme="minorHAnsi"/>
                <w:sz w:val="24"/>
                <w:szCs w:val="24"/>
              </w:rPr>
              <w:t>Experience of working in primary care clinical recruitment sector</w:t>
            </w:r>
          </w:p>
        </w:tc>
        <w:tc>
          <w:tcPr>
            <w:tcW w:w="1134" w:type="dxa"/>
          </w:tcPr>
          <w:p w:rsidR="00E62ABC" w:rsidRPr="00D571F4" w:rsidRDefault="00E62ABC" w:rsidP="004530CE">
            <w:pPr>
              <w:rPr>
                <w:rFonts w:asciiTheme="minorHAnsi" w:hAnsiTheme="minorHAnsi" w:cstheme="minorHAnsi"/>
                <w:lang w:val="en-US"/>
              </w:rPr>
            </w:pPr>
          </w:p>
        </w:tc>
        <w:tc>
          <w:tcPr>
            <w:tcW w:w="1276"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418" w:type="dxa"/>
          </w:tcPr>
          <w:p w:rsidR="00E62ABC" w:rsidRPr="00D571F4" w:rsidRDefault="00E62ABC" w:rsidP="004530CE">
            <w:pPr>
              <w:rPr>
                <w:rFonts w:asciiTheme="minorHAnsi" w:hAnsiTheme="minorHAnsi" w:cstheme="minorHAnsi"/>
                <w:highlight w:val="yellow"/>
                <w:lang w:val="en-US"/>
              </w:rPr>
            </w:pPr>
            <w:r w:rsidRPr="00D571F4">
              <w:rPr>
                <w:rFonts w:asciiTheme="minorHAnsi" w:hAnsiTheme="minorHAnsi" w:cstheme="minorHAnsi"/>
                <w:lang w:val="en-US"/>
              </w:rPr>
              <w:t>A</w:t>
            </w:r>
          </w:p>
        </w:tc>
      </w:tr>
      <w:tr w:rsidR="00E62ABC" w:rsidRPr="00D571F4" w:rsidTr="00FF436D">
        <w:tc>
          <w:tcPr>
            <w:tcW w:w="6232" w:type="dxa"/>
          </w:tcPr>
          <w:p w:rsidR="00E62ABC" w:rsidRPr="00D571F4" w:rsidRDefault="00E62ABC" w:rsidP="004530CE">
            <w:pPr>
              <w:rPr>
                <w:rFonts w:asciiTheme="minorHAnsi" w:hAnsiTheme="minorHAnsi" w:cstheme="minorHAnsi"/>
                <w:b/>
                <w:lang w:val="en-US"/>
              </w:rPr>
            </w:pPr>
            <w:r w:rsidRPr="00D571F4">
              <w:rPr>
                <w:rFonts w:asciiTheme="minorHAnsi" w:hAnsiTheme="minorHAnsi" w:cstheme="minorHAnsi"/>
                <w:b/>
                <w:lang w:val="en-US"/>
              </w:rPr>
              <w:t>Skills and Knowledge</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b/>
                <w:lang w:val="en-US"/>
              </w:rPr>
              <w:t>Essential</w:t>
            </w:r>
          </w:p>
        </w:tc>
        <w:tc>
          <w:tcPr>
            <w:tcW w:w="1276"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b/>
                <w:lang w:val="en-US"/>
              </w:rPr>
              <w:t>Desirable</w:t>
            </w: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b/>
                <w:lang w:val="en-US"/>
              </w:rPr>
              <w:t>Assessment</w:t>
            </w:r>
          </w:p>
        </w:tc>
      </w:tr>
      <w:tr w:rsidR="00E62ABC" w:rsidRPr="00D571F4" w:rsidTr="00FF436D">
        <w:tc>
          <w:tcPr>
            <w:tcW w:w="6232" w:type="dxa"/>
          </w:tcPr>
          <w:p w:rsidR="00E62ABC" w:rsidRPr="00D571F4" w:rsidRDefault="00E62ABC" w:rsidP="00E62ABC">
            <w:pPr>
              <w:pStyle w:val="ListParagraph"/>
              <w:numPr>
                <w:ilvl w:val="0"/>
                <w:numId w:val="3"/>
              </w:numPr>
              <w:rPr>
                <w:rFonts w:asciiTheme="minorHAnsi" w:hAnsiTheme="minorHAnsi" w:cstheme="minorHAnsi"/>
                <w:sz w:val="24"/>
                <w:szCs w:val="24"/>
                <w:lang w:val="en-US"/>
              </w:rPr>
            </w:pPr>
            <w:r w:rsidRPr="00D571F4">
              <w:rPr>
                <w:rFonts w:asciiTheme="minorHAnsi" w:hAnsiTheme="minorHAnsi" w:cstheme="minorHAnsi"/>
                <w:sz w:val="24"/>
                <w:szCs w:val="24"/>
                <w:lang w:val="en-US"/>
              </w:rPr>
              <w:t xml:space="preserve">Ability to drive recruit campaigns across various clinical staff groups simultaneously </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r w:rsidR="00E62ABC" w:rsidRPr="00D571F4" w:rsidTr="00FF436D">
        <w:tc>
          <w:tcPr>
            <w:tcW w:w="6232" w:type="dxa"/>
            <w:shd w:val="clear" w:color="auto" w:fill="auto"/>
          </w:tcPr>
          <w:p w:rsidR="00E62ABC" w:rsidRPr="00D571F4" w:rsidRDefault="00E62ABC" w:rsidP="00E62ABC">
            <w:pPr>
              <w:pStyle w:val="ListParagraph"/>
              <w:numPr>
                <w:ilvl w:val="0"/>
                <w:numId w:val="3"/>
              </w:numPr>
              <w:spacing w:after="20"/>
              <w:rPr>
                <w:rFonts w:asciiTheme="minorHAnsi" w:hAnsiTheme="minorHAnsi" w:cstheme="minorHAnsi"/>
                <w:sz w:val="24"/>
                <w:szCs w:val="24"/>
              </w:rPr>
            </w:pPr>
            <w:r w:rsidRPr="00D571F4">
              <w:rPr>
                <w:rFonts w:asciiTheme="minorHAnsi" w:hAnsiTheme="minorHAnsi" w:cstheme="minorHAnsi"/>
                <w:sz w:val="24"/>
                <w:szCs w:val="24"/>
              </w:rPr>
              <w:t>Knowledge and experience of maintaining recruitment tracker systems in a timely and accurate way</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r w:rsidR="00E62ABC" w:rsidRPr="00D571F4" w:rsidTr="00FF436D">
        <w:tc>
          <w:tcPr>
            <w:tcW w:w="6232" w:type="dxa"/>
            <w:shd w:val="clear" w:color="auto" w:fill="auto"/>
          </w:tcPr>
          <w:p w:rsidR="00E62ABC" w:rsidRPr="00D571F4" w:rsidRDefault="00E62ABC" w:rsidP="00E62ABC">
            <w:pPr>
              <w:pStyle w:val="Footer"/>
              <w:widowControl/>
              <w:numPr>
                <w:ilvl w:val="0"/>
                <w:numId w:val="3"/>
              </w:numPr>
              <w:tabs>
                <w:tab w:val="clear" w:pos="4513"/>
                <w:tab w:val="clear" w:pos="9026"/>
              </w:tabs>
              <w:autoSpaceDE/>
              <w:autoSpaceDN/>
              <w:adjustRightInd/>
              <w:rPr>
                <w:rFonts w:asciiTheme="minorHAnsi" w:hAnsiTheme="minorHAnsi" w:cstheme="minorHAnsi"/>
              </w:rPr>
            </w:pPr>
            <w:r w:rsidRPr="00D571F4">
              <w:rPr>
                <w:rFonts w:asciiTheme="minorHAnsi" w:hAnsiTheme="minorHAnsi" w:cstheme="minorHAnsi"/>
              </w:rPr>
              <w:t>Ability to understand the target workforce and predict future risk</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I</w:t>
            </w:r>
          </w:p>
        </w:tc>
      </w:tr>
      <w:tr w:rsidR="00E62ABC" w:rsidRPr="00D571F4" w:rsidTr="00FF436D">
        <w:tc>
          <w:tcPr>
            <w:tcW w:w="6232" w:type="dxa"/>
            <w:shd w:val="clear" w:color="auto" w:fill="auto"/>
          </w:tcPr>
          <w:p w:rsidR="00E62ABC" w:rsidRPr="00D571F4" w:rsidRDefault="00E62ABC" w:rsidP="00E62ABC">
            <w:pPr>
              <w:pStyle w:val="Footer"/>
              <w:widowControl/>
              <w:numPr>
                <w:ilvl w:val="0"/>
                <w:numId w:val="3"/>
              </w:numPr>
              <w:tabs>
                <w:tab w:val="clear" w:pos="4513"/>
                <w:tab w:val="clear" w:pos="9026"/>
              </w:tabs>
              <w:autoSpaceDE/>
              <w:autoSpaceDN/>
              <w:adjustRightInd/>
              <w:rPr>
                <w:rFonts w:asciiTheme="minorHAnsi" w:hAnsiTheme="minorHAnsi" w:cstheme="minorHAnsi"/>
              </w:rPr>
            </w:pPr>
            <w:r w:rsidRPr="00D571F4">
              <w:rPr>
                <w:rFonts w:asciiTheme="minorHAnsi" w:hAnsiTheme="minorHAnsi" w:cstheme="minorHAnsi"/>
              </w:rPr>
              <w:t>Accurate local knowledge of pay benchmarks across all clinical groups in South London primary care</w:t>
            </w:r>
          </w:p>
        </w:tc>
        <w:tc>
          <w:tcPr>
            <w:tcW w:w="1134" w:type="dxa"/>
          </w:tcPr>
          <w:p w:rsidR="00E62ABC" w:rsidRPr="00D571F4" w:rsidRDefault="00E62ABC" w:rsidP="004530CE">
            <w:pPr>
              <w:rPr>
                <w:rFonts w:asciiTheme="minorHAnsi" w:hAnsiTheme="minorHAnsi" w:cstheme="minorHAnsi"/>
                <w:lang w:val="en-US"/>
              </w:rPr>
            </w:pPr>
          </w:p>
        </w:tc>
        <w:tc>
          <w:tcPr>
            <w:tcW w:w="1276"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r w:rsidR="00E62ABC" w:rsidRPr="00D571F4" w:rsidTr="00FF436D">
        <w:tc>
          <w:tcPr>
            <w:tcW w:w="6232"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b/>
                <w:lang w:val="en-US"/>
              </w:rPr>
              <w:t>Disposition and Motivation</w:t>
            </w:r>
          </w:p>
        </w:tc>
        <w:tc>
          <w:tcPr>
            <w:tcW w:w="1134" w:type="dxa"/>
          </w:tcPr>
          <w:p w:rsidR="00E62ABC" w:rsidRPr="00D571F4" w:rsidRDefault="00E62ABC" w:rsidP="004530CE">
            <w:pPr>
              <w:rPr>
                <w:rFonts w:asciiTheme="minorHAnsi" w:hAnsiTheme="minorHAnsi" w:cstheme="minorHAnsi"/>
                <w:lang w:val="en-US"/>
              </w:rPr>
            </w:pP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p>
        </w:tc>
      </w:tr>
      <w:tr w:rsidR="00E62ABC" w:rsidRPr="00D571F4" w:rsidTr="00FF436D">
        <w:tc>
          <w:tcPr>
            <w:tcW w:w="6232" w:type="dxa"/>
          </w:tcPr>
          <w:p w:rsidR="00E62ABC" w:rsidRPr="00D571F4" w:rsidRDefault="00E62ABC" w:rsidP="00E62ABC">
            <w:pPr>
              <w:pStyle w:val="ListParagraph"/>
              <w:numPr>
                <w:ilvl w:val="0"/>
                <w:numId w:val="3"/>
              </w:numPr>
              <w:rPr>
                <w:rFonts w:asciiTheme="minorHAnsi" w:hAnsiTheme="minorHAnsi" w:cstheme="minorHAnsi"/>
                <w:sz w:val="24"/>
                <w:szCs w:val="24"/>
                <w:lang w:val="en-US"/>
              </w:rPr>
            </w:pPr>
            <w:r w:rsidRPr="00D571F4">
              <w:rPr>
                <w:rFonts w:asciiTheme="minorHAnsi" w:hAnsiTheme="minorHAnsi" w:cstheme="minorHAnsi"/>
                <w:sz w:val="24"/>
                <w:szCs w:val="24"/>
                <w:lang w:val="en-US"/>
              </w:rPr>
              <w:t>Demonstrable energy and motivation, including willingness to contact clinicians outside of 09:00 – 17:00 core hours</w:t>
            </w:r>
          </w:p>
        </w:tc>
        <w:tc>
          <w:tcPr>
            <w:tcW w:w="1134"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w:t>
            </w:r>
          </w:p>
        </w:tc>
        <w:tc>
          <w:tcPr>
            <w:tcW w:w="1276" w:type="dxa"/>
          </w:tcPr>
          <w:p w:rsidR="00E62ABC" w:rsidRPr="00D571F4" w:rsidRDefault="00E62ABC" w:rsidP="004530CE">
            <w:pPr>
              <w:rPr>
                <w:rFonts w:asciiTheme="minorHAnsi" w:hAnsiTheme="minorHAnsi" w:cstheme="minorHAnsi"/>
                <w:lang w:val="en-US"/>
              </w:rPr>
            </w:pPr>
          </w:p>
        </w:tc>
        <w:tc>
          <w:tcPr>
            <w:tcW w:w="1418" w:type="dxa"/>
          </w:tcPr>
          <w:p w:rsidR="00E62ABC" w:rsidRPr="00D571F4" w:rsidRDefault="00E62ABC" w:rsidP="004530CE">
            <w:pPr>
              <w:rPr>
                <w:rFonts w:asciiTheme="minorHAnsi" w:hAnsiTheme="minorHAnsi" w:cstheme="minorHAnsi"/>
                <w:lang w:val="en-US"/>
              </w:rPr>
            </w:pPr>
            <w:r w:rsidRPr="00D571F4">
              <w:rPr>
                <w:rFonts w:asciiTheme="minorHAnsi" w:hAnsiTheme="minorHAnsi" w:cstheme="minorHAnsi"/>
                <w:lang w:val="en-US"/>
              </w:rPr>
              <w:t>A, I</w:t>
            </w:r>
          </w:p>
        </w:tc>
      </w:tr>
    </w:tbl>
    <w:p w:rsidR="00E62ABC" w:rsidRPr="00D571F4" w:rsidRDefault="00E62ABC" w:rsidP="00E62ABC">
      <w:pPr>
        <w:rPr>
          <w:rFonts w:asciiTheme="minorHAnsi" w:hAnsiTheme="minorHAnsi" w:cstheme="minorHAnsi"/>
          <w:lang w:val="en-US"/>
        </w:rPr>
      </w:pPr>
    </w:p>
    <w:p w:rsidR="00E62ABC" w:rsidRPr="00D571F4" w:rsidRDefault="00E62ABC" w:rsidP="00E62ABC">
      <w:pPr>
        <w:widowControl/>
        <w:autoSpaceDE/>
        <w:autoSpaceDN/>
        <w:adjustRightInd/>
        <w:spacing w:after="200" w:line="276" w:lineRule="auto"/>
        <w:rPr>
          <w:rFonts w:asciiTheme="minorHAnsi" w:hAnsiTheme="minorHAnsi" w:cs="Arial"/>
        </w:rPr>
      </w:pPr>
    </w:p>
    <w:bookmarkEnd w:id="0"/>
    <w:p w:rsidR="00B35F27" w:rsidRPr="00D571F4" w:rsidRDefault="00D571F4">
      <w:pPr>
        <w:rPr>
          <w:rFonts w:asciiTheme="minorHAnsi" w:hAnsiTheme="minorHAnsi"/>
        </w:rPr>
      </w:pPr>
    </w:p>
    <w:sectPr w:rsidR="00B35F27" w:rsidRPr="00D571F4" w:rsidSect="0047218A">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A5" w:rsidRDefault="00D571F4" w:rsidP="00D76ACC">
    <w:pPr>
      <w:pStyle w:val="Header"/>
      <w:ind w:firstLine="720"/>
    </w:pPr>
    <w:r>
      <w:rPr>
        <w:noProof/>
      </w:rPr>
      <w:drawing>
        <wp:anchor distT="0" distB="0" distL="114300" distR="114300" simplePos="0" relativeHeight="251659264" behindDoc="0" locked="0" layoutInCell="1" allowOverlap="1" wp14:anchorId="26014CC5" wp14:editId="1AEAE1DC">
          <wp:simplePos x="0" y="0"/>
          <wp:positionH relativeFrom="column">
            <wp:posOffset>4238625</wp:posOffset>
          </wp:positionH>
          <wp:positionV relativeFrom="paragraph">
            <wp:posOffset>-354330</wp:posOffset>
          </wp:positionV>
          <wp:extent cx="1562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6BEB"/>
    <w:multiLevelType w:val="multilevel"/>
    <w:tmpl w:val="DBB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233AB5"/>
    <w:multiLevelType w:val="multilevel"/>
    <w:tmpl w:val="EEDC0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34579"/>
    <w:multiLevelType w:val="multilevel"/>
    <w:tmpl w:val="E12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BC"/>
    <w:rsid w:val="000873F1"/>
    <w:rsid w:val="00794C70"/>
    <w:rsid w:val="008E2E4E"/>
    <w:rsid w:val="00D571F4"/>
    <w:rsid w:val="00E62ABC"/>
    <w:rsid w:val="00FF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3DF-8099-436F-BE44-DC9C159D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2ABC"/>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62A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62A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ABC"/>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rsid w:val="00E62ABC"/>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E62ABC"/>
    <w:pPr>
      <w:widowControl/>
      <w:autoSpaceDE/>
      <w:autoSpaceDN/>
      <w:adjustRightInd/>
      <w:spacing w:after="200" w:line="276" w:lineRule="auto"/>
      <w:ind w:left="720"/>
      <w:contextualSpacing/>
    </w:pPr>
    <w:rPr>
      <w:rFonts w:ascii="Calibri" w:hAnsi="Calibri"/>
      <w:sz w:val="22"/>
      <w:szCs w:val="22"/>
    </w:rPr>
  </w:style>
  <w:style w:type="table" w:styleId="TableGrid">
    <w:name w:val="Table Grid"/>
    <w:basedOn w:val="TableNormal"/>
    <w:uiPriority w:val="59"/>
    <w:rsid w:val="00E62ABC"/>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2ABC"/>
    <w:pPr>
      <w:tabs>
        <w:tab w:val="center" w:pos="4513"/>
        <w:tab w:val="right" w:pos="9026"/>
      </w:tabs>
    </w:pPr>
  </w:style>
  <w:style w:type="character" w:customStyle="1" w:styleId="HeaderChar">
    <w:name w:val="Header Char"/>
    <w:basedOn w:val="DefaultParagraphFont"/>
    <w:link w:val="Header"/>
    <w:rsid w:val="00E62A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ABC"/>
    <w:pPr>
      <w:tabs>
        <w:tab w:val="center" w:pos="4513"/>
        <w:tab w:val="right" w:pos="9026"/>
      </w:tabs>
    </w:pPr>
  </w:style>
  <w:style w:type="character" w:customStyle="1" w:styleId="FooterChar">
    <w:name w:val="Footer Char"/>
    <w:basedOn w:val="DefaultParagraphFont"/>
    <w:link w:val="Footer"/>
    <w:uiPriority w:val="99"/>
    <w:rsid w:val="00E62ABC"/>
    <w:rPr>
      <w:rFonts w:ascii="Times New Roman" w:eastAsia="Times New Roman" w:hAnsi="Times New Roman" w:cs="Times New Roman"/>
      <w:sz w:val="24"/>
      <w:szCs w:val="24"/>
      <w:lang w:eastAsia="en-GB"/>
    </w:rPr>
  </w:style>
  <w:style w:type="paragraph" w:styleId="BodyText">
    <w:name w:val="Body Text"/>
    <w:basedOn w:val="Normal"/>
    <w:link w:val="BodyTextChar"/>
    <w:rsid w:val="00E62ABC"/>
    <w:pPr>
      <w:widowControl/>
      <w:autoSpaceDE/>
      <w:autoSpaceDN/>
      <w:adjustRightInd/>
    </w:pPr>
    <w:rPr>
      <w:rFonts w:ascii="Arial" w:hAnsi="Arial" w:cs="Arial"/>
      <w:sz w:val="22"/>
      <w:lang w:eastAsia="en-US"/>
    </w:rPr>
  </w:style>
  <w:style w:type="character" w:customStyle="1" w:styleId="BodyTextChar">
    <w:name w:val="Body Text Char"/>
    <w:basedOn w:val="DefaultParagraphFont"/>
    <w:link w:val="BodyText"/>
    <w:rsid w:val="00E62AB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East London Doctors</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O'Meara</dc:creator>
  <cp:keywords/>
  <dc:description/>
  <cp:lastModifiedBy>Jacqueline O'Meara</cp:lastModifiedBy>
  <cp:revision>4</cp:revision>
  <dcterms:created xsi:type="dcterms:W3CDTF">2022-04-05T10:30:00Z</dcterms:created>
  <dcterms:modified xsi:type="dcterms:W3CDTF">2022-04-05T13:20:00Z</dcterms:modified>
</cp:coreProperties>
</file>